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D6" w:rsidRDefault="00073DD6" w:rsidP="00073DD6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73DD6" w:rsidRDefault="00073DD6" w:rsidP="00073DD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073DD6" w:rsidRDefault="00073DD6" w:rsidP="00073D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уч. год</w:t>
      </w:r>
    </w:p>
    <w:p w:rsidR="00073DD6" w:rsidRDefault="00073DD6" w:rsidP="00073D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  <w:lang w:val="kk-KZ"/>
        </w:rPr>
        <w:t>6В02302-Переводческое дело (восточные языки)</w:t>
      </w:r>
      <w:r>
        <w:rPr>
          <w:b/>
          <w:sz w:val="20"/>
          <w:szCs w:val="20"/>
        </w:rPr>
        <w:t>»</w:t>
      </w:r>
    </w:p>
    <w:p w:rsidR="00073DD6" w:rsidRDefault="00073DD6" w:rsidP="00073DD6">
      <w:pPr>
        <w:jc w:val="center"/>
        <w:rPr>
          <w:b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7"/>
        <w:gridCol w:w="566"/>
        <w:gridCol w:w="568"/>
        <w:gridCol w:w="1702"/>
        <w:gridCol w:w="1984"/>
        <w:gridCol w:w="2410"/>
      </w:tblGrid>
      <w:tr w:rsidR="00073DD6" w:rsidTr="00073DD6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073DD6" w:rsidTr="00073DD6">
        <w:trPr>
          <w:trHeight w:val="265"/>
        </w:trPr>
        <w:tc>
          <w:tcPr>
            <w:tcW w:w="10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>
              <w:rPr>
                <w:b/>
                <w:color w:val="000000" w:themeColor="text1"/>
                <w:sz w:val="20"/>
                <w:szCs w:val="20"/>
              </w:rPr>
              <w:t>емин.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073DD6" w:rsidTr="00073DD6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  <w:lang w:val="kk-KZ"/>
              </w:rPr>
              <w:t>99541</w:t>
            </w:r>
          </w:p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Перевод научных текстов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73DD6" w:rsidTr="00073DD6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pStyle w:val="11"/>
              <w:spacing w:line="256" w:lineRule="auto"/>
              <w:rPr>
                <w:b/>
              </w:rPr>
            </w:pPr>
            <w:r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D6" w:rsidRDefault="00073DD6">
            <w:pPr>
              <w:pStyle w:val="11"/>
              <w:spacing w:line="256" w:lineRule="auto"/>
            </w:pPr>
            <w:r>
              <w:t xml:space="preserve">Офлайн </w:t>
            </w:r>
          </w:p>
          <w:p w:rsidR="00073DD6" w:rsidRDefault="00073DD6">
            <w:pPr>
              <w:pStyle w:val="11"/>
              <w:spacing w:line="256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>
              <w:rPr>
                <w:sz w:val="20"/>
                <w:szCs w:val="20"/>
              </w:rPr>
              <w:t xml:space="preserve">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073DD6" w:rsidTr="00073D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</w:rPr>
                <w:t>@</w:t>
              </w:r>
              <w:r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D6" w:rsidRDefault="00073DD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e-mail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D6" w:rsidRDefault="00073DD6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73DD6" w:rsidTr="00073D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D6" w:rsidRDefault="00073DD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073DD6" w:rsidRDefault="00073DD6" w:rsidP="00073DD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73DD6" w:rsidTr="00073D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73DD6" w:rsidRDefault="00073DD6" w:rsidP="00073DD6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073DD6" w:rsidTr="00073DD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pacing w:line="254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73DD6" w:rsidRDefault="00073DD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73DD6" w:rsidRDefault="00073DD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73DD6" w:rsidTr="00073DD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rStyle w:val="tlid-translation"/>
                <w:sz w:val="20"/>
                <w:szCs w:val="20"/>
              </w:rPr>
              <w:t xml:space="preserve">Научить писать официальные письма на китайском языке, писать рассказы и произведения на эту тему, а также писать описания художественных произведений. Учимся писать письма и жалобы, типы заявлений в виде специально утвержденных языковых форм.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Освоить общие методы письменной практики, современные методы лингвистических исследований и формирования знаний о различных направлениях и тенденциях в социолингвистике Востока.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8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:rsidR="00073DD6" w:rsidRDefault="00073DD6" w:rsidP="00073DD6">
            <w:pPr>
              <w:pStyle w:val="a4"/>
              <w:numPr>
                <w:ilvl w:val="0"/>
                <w:numId w:val="8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методы формирование разных письменных документов .</w:t>
            </w:r>
          </w:p>
          <w:p w:rsidR="00073DD6" w:rsidRDefault="00073DD6" w:rsidP="00073DD6">
            <w:pPr>
              <w:pStyle w:val="a4"/>
              <w:numPr>
                <w:ilvl w:val="0"/>
                <w:numId w:val="8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073DD6" w:rsidTr="00073DD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Совершенствование навыков свободного письма на изучаемом восточном языке, описание языковых явлений на основе полученных лингвистических знаний, внесение вклада в теоретико-методологическую базу общего языкознания.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Style w:val="tlid-translation"/>
                <w:b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:rsidR="00073DD6" w:rsidRDefault="00073DD6" w:rsidP="00073DD6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:rsidR="00073DD6" w:rsidRDefault="00073DD6" w:rsidP="00073DD6">
            <w:pPr>
              <w:pStyle w:val="a8"/>
              <w:numPr>
                <w:ilvl w:val="0"/>
                <w:numId w:val="9"/>
              </w:numPr>
              <w:spacing w:line="254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073DD6" w:rsidTr="00073DD6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Написание произведений и описаний на иностранном языке в контексте лингвистических парадигм и языков, их целесообразное использование в практике написания фразеологических фраз, определение их языковой природы и письменное описание персонажей.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8"/>
              <w:numPr>
                <w:ilvl w:val="0"/>
                <w:numId w:val="10"/>
              </w:numPr>
              <w:spacing w:line="254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:rsidR="00073DD6" w:rsidRDefault="00073DD6" w:rsidP="00073DD6">
            <w:pPr>
              <w:pStyle w:val="a8"/>
              <w:numPr>
                <w:ilvl w:val="0"/>
                <w:numId w:val="10"/>
              </w:numPr>
              <w:spacing w:line="254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073DD6" w:rsidTr="00073DD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Способность действовать в самых разных ненормальных ситуациях, чувство социальной и этической ответственности за принимаемые решения.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1"/>
              </w:numPr>
              <w:spacing w:line="254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:rsidR="00073DD6" w:rsidRDefault="00073DD6" w:rsidP="00073DD6">
            <w:pPr>
              <w:pStyle w:val="a4"/>
              <w:numPr>
                <w:ilvl w:val="0"/>
                <w:numId w:val="11"/>
              </w:numPr>
              <w:spacing w:line="254" w:lineRule="auto"/>
            </w:pPr>
            <w:r>
              <w:rPr>
                <w:rFonts w:ascii="Times New Roman" w:hAnsi="Times New Roman"/>
                <w:sz w:val="20"/>
                <w:szCs w:val="20"/>
              </w:rPr>
              <w:t>Умение отвечать на отказные письма и на жалобы, выйти из сложной ситуации.</w:t>
            </w:r>
          </w:p>
        </w:tc>
      </w:tr>
      <w:tr w:rsidR="00073DD6" w:rsidTr="00073DD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Усиление учебной независимости, повышение способности учиться самостоятельно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 w:rsidP="00073DD6">
            <w:pPr>
              <w:pStyle w:val="a4"/>
              <w:numPr>
                <w:ilvl w:val="0"/>
                <w:numId w:val="12"/>
              </w:num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Свободное общение с деловыми партнерами самостоятельно.</w:t>
            </w:r>
          </w:p>
          <w:p w:rsidR="00073DD6" w:rsidRDefault="00073DD6" w:rsidP="00073DD6">
            <w:pPr>
              <w:pStyle w:val="a4"/>
              <w:numPr>
                <w:ilvl w:val="0"/>
                <w:numId w:val="12"/>
              </w:num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073DD6" w:rsidTr="00073DD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BIYa (В1)1202</w:t>
            </w:r>
            <w:r>
              <w:rPr>
                <w:sz w:val="20"/>
                <w:szCs w:val="20"/>
              </w:rPr>
              <w:t>Базовый иностранный язык (уровень В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073DD6" w:rsidTr="00073DD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PPP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Практика последовательного перевода </w:t>
            </w:r>
          </w:p>
        </w:tc>
      </w:tr>
      <w:tr w:rsidR="00073DD6" w:rsidTr="00073D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</w:rPr>
              <w:t xml:space="preserve"> :</w:t>
            </w:r>
          </w:p>
          <w:p w:rsidR="00073DD6" w:rsidRDefault="00073DD6" w:rsidP="00073DD6">
            <w:pPr>
              <w:numPr>
                <w:ilvl w:val="0"/>
                <w:numId w:val="14"/>
              </w:num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 Г.Б., Китайский язык. Деловая переписка. – М.: Живой язык, 2010. – 224 с.</w:t>
            </w:r>
          </w:p>
          <w:p w:rsidR="00073DD6" w:rsidRDefault="00073DD6" w:rsidP="00073DD6">
            <w:pPr>
              <w:pStyle w:val="a9"/>
              <w:numPr>
                <w:ilvl w:val="0"/>
                <w:numId w:val="14"/>
              </w:numPr>
              <w:spacing w:after="0" w:line="256" w:lineRule="auto"/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罗轻松。</w:t>
            </w:r>
            <w:r>
              <w:rPr>
                <w:rFonts w:hint="eastAsia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发展汉语，</w:t>
            </w:r>
            <w:r>
              <w:rPr>
                <w:rFonts w:hint="eastAsia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中级汉语写作（上），北京语言大学出版社，</w:t>
            </w:r>
            <w:r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:rsidR="00073DD6" w:rsidRDefault="00073DD6" w:rsidP="00073DD6">
            <w:pPr>
              <w:pStyle w:val="a9"/>
              <w:numPr>
                <w:ilvl w:val="0"/>
                <w:numId w:val="14"/>
              </w:numPr>
              <w:spacing w:after="0" w:line="256" w:lineRule="auto"/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罗轻松。</w:t>
            </w:r>
            <w:r>
              <w:rPr>
                <w:rFonts w:hint="eastAsia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发展汉语，</w:t>
            </w:r>
            <w:r>
              <w:rPr>
                <w:rFonts w:hint="eastAsia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kk-KZ" w:eastAsia="zh-CN"/>
              </w:rPr>
              <w:t>中级汉语写作（下），北京语言大学出版社，</w:t>
            </w:r>
            <w:r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:rsidR="00073DD6" w:rsidRDefault="00073DD6" w:rsidP="00073DD6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hl"/>
                <w:rFonts w:ascii="Times New Roman" w:hAnsi="Times New Roman"/>
              </w:rPr>
              <w:t>Караулов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Ю. А. Языковая личность. М., 2001. - 241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73DD6" w:rsidRDefault="00073DD6" w:rsidP="00073DD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Сунь Юйхуа. Текст как интегрированная единица обучения китайских студентов_русистов на продвинутом этапе обучения. – СПб., Далянь: Сударыня, 2001. – 129 c.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073DD6" w:rsidRDefault="00073DD6">
            <w:pPr>
              <w:spacing w:line="254" w:lineRule="auto"/>
              <w:rPr>
                <w:b/>
                <w:sz w:val="20"/>
                <w:szCs w:val="20"/>
                <w:lang w:val="tr-TR" w:eastAsia="zh-CN"/>
              </w:rPr>
            </w:pPr>
            <w:r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073DD6" w:rsidRDefault="00073DD6">
            <w:pPr>
              <w:spacing w:line="256" w:lineRule="auto"/>
              <w:ind w:left="708"/>
              <w:rPr>
                <w:sz w:val="20"/>
                <w:szCs w:val="20"/>
                <w:lang w:val="tr-TR"/>
              </w:rPr>
            </w:pPr>
            <w:hyperlink r:id="rId7" w:history="1">
              <w:r>
                <w:rPr>
                  <w:rStyle w:val="a7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073DD6" w:rsidRDefault="00073DD6">
            <w:pPr>
              <w:spacing w:line="254" w:lineRule="auto"/>
              <w:ind w:left="708"/>
              <w:rPr>
                <w:sz w:val="20"/>
                <w:szCs w:val="20"/>
              </w:rPr>
            </w:pPr>
            <w:hyperlink r:id="rId8" w:history="1">
              <w:r>
                <w:rPr>
                  <w:rStyle w:val="a7"/>
                  <w:sz w:val="20"/>
                  <w:szCs w:val="20"/>
                  <w:lang w:val="kk-KZ"/>
                </w:rPr>
                <w:t>http://www.philology.ru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073DD6" w:rsidRDefault="00073DD6" w:rsidP="00073DD6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5"/>
        <w:gridCol w:w="2803"/>
        <w:gridCol w:w="32"/>
      </w:tblGrid>
      <w:tr w:rsidR="00073DD6" w:rsidTr="00073DD6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73DD6" w:rsidRDefault="00073DD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73DD6" w:rsidRDefault="00073DD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73DD6" w:rsidRDefault="00073DD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73DD6" w:rsidRDefault="00073DD6">
            <w:pPr>
              <w:spacing w:line="254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73DD6" w:rsidRDefault="00073DD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73DD6" w:rsidRDefault="00073DD6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73DD6" w:rsidTr="00073DD6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D6" w:rsidRDefault="00073DD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D6" w:rsidRDefault="00073DD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73DD6" w:rsidRDefault="00073DD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073DD6" w:rsidRDefault="00073DD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073DD6" w:rsidTr="00073DD6"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073DD6" w:rsidTr="00073DD6"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073DD6" w:rsidTr="00073DD6"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073DD6" w:rsidRDefault="00073DD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073DD6" w:rsidRDefault="00073DD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Критериальное оценивание </w:t>
            </w:r>
            <w:r>
              <w:rPr>
                <w:bCs/>
                <w:color w:val="000000" w:themeColor="text1"/>
                <w:sz w:val="18"/>
                <w:szCs w:val="18"/>
              </w:rPr>
              <w:t>–</w:t>
            </w:r>
            <w:r>
              <w:rPr>
                <w:color w:val="000000" w:themeColor="text1"/>
                <w:sz w:val="18"/>
                <w:szCs w:val="1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Формативное оценивание – </w:t>
            </w:r>
            <w:r>
              <w:rPr>
                <w:color w:val="000000" w:themeColor="text1"/>
                <w:sz w:val="18"/>
                <w:szCs w:val="18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Суммативное оценивание </w:t>
            </w:r>
            <w:r>
              <w:rPr>
                <w:bCs/>
                <w:color w:val="000000" w:themeColor="text1"/>
                <w:sz w:val="18"/>
                <w:szCs w:val="18"/>
              </w:rPr>
              <w:t>–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Проводится 3-4 раза за семестр при выполнении СРО.</w:t>
            </w:r>
            <w:r>
              <w:rPr>
                <w:color w:val="000000" w:themeColor="text1"/>
                <w:sz w:val="18"/>
                <w:szCs w:val="1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73DD6" w:rsidTr="00073DD6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gridBefore w:val="1"/>
          <w:wBefore w:w="29" w:type="dxa"/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gridBefore w:val="1"/>
          <w:wBefore w:w="29" w:type="dxa"/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свои виды оценивания либо использует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предложенный вариант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Баллы % содержание</w:t>
            </w:r>
          </w:p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свою разбалловку в пункты в соответствии с календарем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(графиком). </w:t>
            </w:r>
          </w:p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073DD6" w:rsidRDefault="00073DD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073DD6" w:rsidTr="00073DD6">
        <w:trPr>
          <w:gridBefore w:val="1"/>
          <w:wBefore w:w="29" w:type="dxa"/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073DD6" w:rsidTr="00073DD6">
        <w:trPr>
          <w:gridBefore w:val="1"/>
          <w:wBefore w:w="29" w:type="dxa"/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073DD6" w:rsidTr="00073DD6">
        <w:trPr>
          <w:gridBefore w:val="1"/>
          <w:wBefore w:w="29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073DD6" w:rsidTr="00073DD6">
        <w:trPr>
          <w:gridBefore w:val="1"/>
          <w:wBefore w:w="29" w:type="dxa"/>
          <w:trHeight w:val="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rPr>
          <w:gridBefore w:val="1"/>
          <w:wBefore w:w="29" w:type="dxa"/>
          <w:trHeight w:val="1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073DD6" w:rsidTr="00073DD6"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073DD6" w:rsidTr="00073DD6"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73DD6" w:rsidRDefault="00073DD6" w:rsidP="00073DD6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073DD6" w:rsidTr="00073DD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073DD6" w:rsidTr="00073DD6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Введение </w:t>
            </w:r>
            <w:r>
              <w:rPr>
                <w:sz w:val="20"/>
                <w:szCs w:val="20"/>
                <w:lang w:val="kk-KZ" w:eastAsia="zh-CN"/>
              </w:rPr>
              <w:t>письма</w:t>
            </w:r>
          </w:p>
        </w:tc>
      </w:tr>
      <w:tr w:rsidR="00073DD6" w:rsidTr="00073DD6">
        <w:trPr>
          <w:trHeight w:val="14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1. Планирование письма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rPr>
          <w:trHeight w:val="17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2. Оформление письма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rPr>
          <w:trHeight w:val="268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3</w:t>
            </w:r>
            <w:r>
              <w:rPr>
                <w:sz w:val="20"/>
                <w:szCs w:val="20"/>
                <w:lang w:val="en-US"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Стандартные деловые письма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73DD6" w:rsidTr="00073DD6">
        <w:trPr>
          <w:trHeight w:val="30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4. Письмо о бронировании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rPr>
          <w:trHeight w:val="34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5. Просьба и благодарность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rPr>
          <w:trHeight w:val="32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6. Требования, запросы, рекламации и жалобы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rPr>
          <w:trHeight w:val="26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Переписка с поставщиками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73DD6" w:rsidTr="00073DD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>
              <w:rPr>
                <w:b/>
                <w:sz w:val="20"/>
                <w:szCs w:val="20"/>
              </w:rPr>
              <w:t>Напишите благодарственное письмо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73DD6" w:rsidTr="00073DD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073DD6" w:rsidTr="00073DD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73DD6" w:rsidTr="00073DD6">
        <w:trPr>
          <w:trHeight w:val="36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8. Размещение и получение заказов от партнеров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rPr>
          <w:trHeight w:val="31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9. Проблемные ситуации с поставщиками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>
              <w:rPr>
                <w:sz w:val="20"/>
                <w:szCs w:val="20"/>
              </w:rPr>
              <w:t xml:space="preserve">Будни делового общения  </w:t>
            </w:r>
            <w:r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trHeight w:val="312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10. Арбитраж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trHeight w:val="30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Переписка с коллегами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>
              <w:rPr>
                <w:b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73DD6" w:rsidTr="00073DD6">
        <w:trPr>
          <w:trHeight w:val="3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D6" w:rsidRDefault="00073D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Переписка по факсу </w:t>
            </w:r>
          </w:p>
          <w:p w:rsidR="00073DD6" w:rsidRDefault="00073D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rPr>
          <w:trHeight w:val="27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Письма, помогающие продать товар или услуги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DD6" w:rsidTr="00073DD6">
        <w:trPr>
          <w:trHeight w:val="33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14. Единицы измерений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rPr>
          <w:trHeight w:val="26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73DD6" w:rsidTr="00073D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D6" w:rsidRDefault="00073DD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Тест.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>
              <w:rPr>
                <w:sz w:val="20"/>
                <w:szCs w:val="20"/>
              </w:rPr>
              <w:t>Выполнить тестовые задание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73DD6" w:rsidTr="00073DD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73DD6" w:rsidTr="00073DD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73DD6" w:rsidTr="00073DD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3DD6" w:rsidRDefault="00073D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3DD6" w:rsidRDefault="00073DD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073DD6" w:rsidRDefault="00073DD6" w:rsidP="00073DD6">
      <w:pPr>
        <w:jc w:val="center"/>
        <w:rPr>
          <w:b/>
          <w:sz w:val="20"/>
          <w:szCs w:val="20"/>
        </w:rPr>
      </w:pPr>
    </w:p>
    <w:p w:rsidR="00073DD6" w:rsidRDefault="00073DD6" w:rsidP="00073DD6">
      <w:pPr>
        <w:jc w:val="center"/>
        <w:rPr>
          <w:b/>
          <w:sz w:val="20"/>
          <w:szCs w:val="20"/>
        </w:rPr>
      </w:pPr>
    </w:p>
    <w:p w:rsidR="00073DD6" w:rsidRDefault="00073DD6" w:rsidP="00073DD6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073DD6" w:rsidRDefault="00073DD6" w:rsidP="00073DD6">
      <w:pPr>
        <w:rPr>
          <w:rFonts w:eastAsiaTheme="minorEastAsia"/>
          <w:b/>
          <w:sz w:val="20"/>
          <w:szCs w:val="20"/>
          <w:lang w:eastAsia="zh-CN"/>
        </w:rPr>
      </w:pPr>
    </w:p>
    <w:p w:rsidR="00073DD6" w:rsidRDefault="00073DD6" w:rsidP="00073DD6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073DD6" w:rsidRDefault="00073DD6" w:rsidP="00073DD6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Арзыкулов А.А.</w:t>
      </w:r>
    </w:p>
    <w:p w:rsidR="00073DD6" w:rsidRDefault="00073DD6" w:rsidP="00073DD6">
      <w:pPr>
        <w:rPr>
          <w:b/>
          <w:sz w:val="20"/>
          <w:szCs w:val="20"/>
        </w:rPr>
      </w:pPr>
    </w:p>
    <w:p w:rsidR="00073DD6" w:rsidRDefault="00073DD6" w:rsidP="00073DD6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Оразақынқызы Ф.</w:t>
      </w:r>
    </w:p>
    <w:p w:rsidR="00073DD6" w:rsidRDefault="00073DD6" w:rsidP="00073DD6">
      <w:pPr>
        <w:rPr>
          <w:b/>
          <w:sz w:val="20"/>
          <w:szCs w:val="20"/>
        </w:rPr>
      </w:pPr>
    </w:p>
    <w:p w:rsidR="00073DD6" w:rsidRDefault="00073DD6" w:rsidP="00073DD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3022D7" w:rsidRPr="00073DD6" w:rsidRDefault="003022D7" w:rsidP="005A4C36">
      <w:pPr>
        <w:rPr>
          <w:b/>
          <w:sz w:val="20"/>
          <w:szCs w:val="20"/>
        </w:rPr>
        <w:sectPr w:rsidR="003022D7" w:rsidRPr="00073DD6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F352A7" w:rsidRPr="009F6353" w:rsidRDefault="00F352A7" w:rsidP="009F635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8558B" w:rsidRDefault="0038558B" w:rsidP="00F352A7">
      <w:pPr>
        <w:rPr>
          <w:sz w:val="20"/>
          <w:szCs w:val="20"/>
          <w:lang w:val="kk-KZ"/>
        </w:rPr>
      </w:pPr>
    </w:p>
    <w:p w:rsidR="00F352A7" w:rsidRDefault="00F352A7" w:rsidP="00F352A7">
      <w:pPr>
        <w:rPr>
          <w:sz w:val="20"/>
          <w:szCs w:val="20"/>
          <w:lang w:val="kk-KZ"/>
        </w:rPr>
      </w:pPr>
    </w:p>
    <w:p w:rsidR="00F352A7" w:rsidRPr="00F76949" w:rsidRDefault="009C3BAA" w:rsidP="00073DD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="00F352A7" w:rsidRPr="009F6353">
        <w:rPr>
          <w:rStyle w:val="normaltextrun"/>
          <w:b/>
          <w:bCs/>
          <w:sz w:val="20"/>
          <w:szCs w:val="20"/>
        </w:rPr>
        <w:t xml:space="preserve"> 1. </w:t>
      </w:r>
      <w:r w:rsidR="00F352A7"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="00F352A7" w:rsidRPr="003022D7">
        <w:rPr>
          <w:rStyle w:val="normaltextrun"/>
          <w:b/>
          <w:bCs/>
          <w:sz w:val="20"/>
          <w:szCs w:val="20"/>
        </w:rPr>
        <w:t>«</w:t>
      </w:r>
      <w:r w:rsidR="00073DD6" w:rsidRPr="00073DD6">
        <w:rPr>
          <w:b/>
          <w:bCs/>
          <w:sz w:val="20"/>
          <w:szCs w:val="20"/>
          <w:lang w:eastAsia="zh-CN"/>
        </w:rPr>
        <w:t>Стандартные деловые письма</w:t>
      </w:r>
      <w:r w:rsidR="00F352A7" w:rsidRPr="00F76949">
        <w:rPr>
          <w:rStyle w:val="normaltextrun"/>
          <w:b/>
          <w:bCs/>
          <w:sz w:val="20"/>
          <w:szCs w:val="20"/>
        </w:rPr>
        <w:t>» (25% от 100% РК)</w:t>
      </w:r>
      <w:r w:rsidR="00F352A7" w:rsidRPr="00F76949">
        <w:rPr>
          <w:rStyle w:val="normaltextrun"/>
          <w:sz w:val="20"/>
          <w:szCs w:val="20"/>
        </w:rPr>
        <w:t> </w:t>
      </w:r>
      <w:r w:rsidR="00F352A7" w:rsidRPr="00F76949">
        <w:rPr>
          <w:rStyle w:val="eop"/>
          <w:sz w:val="20"/>
          <w:szCs w:val="20"/>
        </w:rPr>
        <w:t> </w:t>
      </w:r>
    </w:p>
    <w:p w:rsidR="00F352A7" w:rsidRPr="00F76949" w:rsidRDefault="00F352A7" w:rsidP="00F352A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EA01DA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7374E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EA01DA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A74020" w:rsidRDefault="00073DD6" w:rsidP="0057374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 w:rsidR="00132D6F"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</w:t>
            </w:r>
            <w:r w:rsidR="00132D6F">
              <w:rPr>
                <w:rStyle w:val="normaltextrun"/>
                <w:sz w:val="20"/>
                <w:szCs w:val="20"/>
              </w:rPr>
              <w:t>вани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 w:rsidR="00132D6F">
              <w:rPr>
                <w:rStyle w:val="normaltextrun"/>
                <w:sz w:val="20"/>
                <w:szCs w:val="20"/>
              </w:rPr>
              <w:t xml:space="preserve">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="00132D6F">
              <w:rPr>
                <w:rStyle w:val="normaltextrun"/>
                <w:sz w:val="20"/>
                <w:szCs w:val="20"/>
              </w:rPr>
              <w:t xml:space="preserve"> исследовани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="00073DD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EA01D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="00073DD6">
              <w:rPr>
                <w:rStyle w:val="normaltextrun"/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 w:rsidR="0057374E"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="00073DD6">
              <w:rPr>
                <w:rStyle w:val="normaltextrun"/>
                <w:sz w:val="20"/>
                <w:szCs w:val="20"/>
              </w:rPr>
              <w:t xml:space="preserve"> исследования.</w:t>
            </w:r>
          </w:p>
        </w:tc>
      </w:tr>
    </w:tbl>
    <w:p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352A7" w:rsidRDefault="00F352A7" w:rsidP="00073D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="00FC782B"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 w:rsidR="00073DD6">
        <w:rPr>
          <w:rStyle w:val="normaltextrun"/>
          <w:b/>
          <w:bCs/>
          <w:sz w:val="20"/>
          <w:szCs w:val="20"/>
        </w:rPr>
        <w:t>Письменное задание «</w:t>
      </w:r>
      <w:r w:rsidR="00073DD6">
        <w:rPr>
          <w:b/>
          <w:sz w:val="20"/>
          <w:szCs w:val="20"/>
        </w:rPr>
        <w:t>Напишите благодарственное письмо</w:t>
      </w:r>
      <w:r w:rsidR="00073DD6">
        <w:rPr>
          <w:rStyle w:val="normaltextrun"/>
          <w:b/>
          <w:bCs/>
          <w:sz w:val="20"/>
          <w:szCs w:val="20"/>
        </w:rPr>
        <w:t xml:space="preserve">» </w:t>
      </w:r>
      <w:r w:rsidR="00FC782B"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FC782B" w:rsidRDefault="00FC782B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1E0672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022D7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3022D7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9F6353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обучающегося аргументировать свою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35420" w:rsidRDefault="00035420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035420" w:rsidRPr="00AC3C7E" w:rsidRDefault="00FC782B" w:rsidP="00073DD6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 xml:space="preserve">СРО 3. </w:t>
      </w:r>
      <w:r w:rsidR="00AC3C7E" w:rsidRPr="00AC3C7E">
        <w:rPr>
          <w:b/>
          <w:sz w:val="20"/>
          <w:szCs w:val="20"/>
        </w:rPr>
        <w:t>Индивидуальная презентация «</w:t>
      </w:r>
      <w:r w:rsidR="00073DD6">
        <w:rPr>
          <w:b/>
          <w:sz w:val="20"/>
          <w:szCs w:val="20"/>
        </w:rPr>
        <w:t>Маркетинговые письма</w:t>
      </w:r>
      <w:r w:rsidR="00AC3C7E" w:rsidRPr="00AC3C7E">
        <w:rPr>
          <w:b/>
          <w:sz w:val="20"/>
          <w:szCs w:val="20"/>
        </w:rPr>
        <w:t>»</w:t>
      </w:r>
      <w:r w:rsidR="00AC3C7E">
        <w:rPr>
          <w:b/>
          <w:sz w:val="20"/>
          <w:szCs w:val="20"/>
        </w:rPr>
        <w:t xml:space="preserve"> </w:t>
      </w:r>
      <w:r w:rsidR="00AC3C7E">
        <w:rPr>
          <w:rStyle w:val="normaltextrun"/>
          <w:b/>
          <w:bCs/>
          <w:sz w:val="20"/>
          <w:szCs w:val="20"/>
        </w:rPr>
        <w:t>(25</w:t>
      </w:r>
      <w:r w:rsidR="00AC3C7E" w:rsidRPr="00F76949">
        <w:rPr>
          <w:rStyle w:val="normaltextrun"/>
          <w:b/>
          <w:bCs/>
          <w:sz w:val="20"/>
          <w:szCs w:val="20"/>
        </w:rPr>
        <w:t>% от 100% РК)</w:t>
      </w:r>
      <w:r w:rsidR="00AC3C7E" w:rsidRPr="00F76949">
        <w:rPr>
          <w:rStyle w:val="eop"/>
          <w:sz w:val="20"/>
          <w:szCs w:val="20"/>
        </w:rPr>
        <w:t> </w:t>
      </w:r>
    </w:p>
    <w:p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352A7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352A7" w:rsidRPr="004F3CB8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F352A7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F352A7" w:rsidRPr="009F6353" w:rsidRDefault="009F6353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 w:rsidR="00993AEC"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352A7" w:rsidRDefault="00F352A7" w:rsidP="00F352A7">
      <w:pPr>
        <w:rPr>
          <w:sz w:val="20"/>
          <w:szCs w:val="20"/>
        </w:rPr>
      </w:pPr>
    </w:p>
    <w:p w:rsidR="00D41C50" w:rsidRPr="002655E7" w:rsidRDefault="00D41C50" w:rsidP="0057374E">
      <w:pPr>
        <w:rPr>
          <w:sz w:val="20"/>
          <w:szCs w:val="20"/>
        </w:rPr>
      </w:pPr>
    </w:p>
    <w:sectPr w:rsidR="00D41C50" w:rsidRPr="002655E7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D2A92"/>
    <w:multiLevelType w:val="hybridMultilevel"/>
    <w:tmpl w:val="04DCB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7FB0"/>
    <w:rsid w:val="00027D04"/>
    <w:rsid w:val="00033748"/>
    <w:rsid w:val="00035420"/>
    <w:rsid w:val="00073DD6"/>
    <w:rsid w:val="0008462A"/>
    <w:rsid w:val="000C7EC1"/>
    <w:rsid w:val="000F0A68"/>
    <w:rsid w:val="000F45FA"/>
    <w:rsid w:val="00125C20"/>
    <w:rsid w:val="00132D6F"/>
    <w:rsid w:val="00153912"/>
    <w:rsid w:val="00167171"/>
    <w:rsid w:val="00172AB9"/>
    <w:rsid w:val="0018167B"/>
    <w:rsid w:val="00193218"/>
    <w:rsid w:val="001A2D29"/>
    <w:rsid w:val="001B153B"/>
    <w:rsid w:val="001D099D"/>
    <w:rsid w:val="001E0672"/>
    <w:rsid w:val="001E4BFF"/>
    <w:rsid w:val="0021133F"/>
    <w:rsid w:val="00211C02"/>
    <w:rsid w:val="00217F36"/>
    <w:rsid w:val="002655E7"/>
    <w:rsid w:val="0028029D"/>
    <w:rsid w:val="00283545"/>
    <w:rsid w:val="00292083"/>
    <w:rsid w:val="002F51D3"/>
    <w:rsid w:val="003022D7"/>
    <w:rsid w:val="00377126"/>
    <w:rsid w:val="0038558B"/>
    <w:rsid w:val="003A478B"/>
    <w:rsid w:val="003E744B"/>
    <w:rsid w:val="003F2709"/>
    <w:rsid w:val="00413AE5"/>
    <w:rsid w:val="004470BB"/>
    <w:rsid w:val="00491C5B"/>
    <w:rsid w:val="004D59CE"/>
    <w:rsid w:val="004E35E2"/>
    <w:rsid w:val="005460A3"/>
    <w:rsid w:val="00572CEE"/>
    <w:rsid w:val="0057374E"/>
    <w:rsid w:val="005A4C36"/>
    <w:rsid w:val="005C563E"/>
    <w:rsid w:val="005C66D0"/>
    <w:rsid w:val="00605EB8"/>
    <w:rsid w:val="00611A84"/>
    <w:rsid w:val="006221E7"/>
    <w:rsid w:val="006240F3"/>
    <w:rsid w:val="00666D8B"/>
    <w:rsid w:val="00672B3E"/>
    <w:rsid w:val="00675711"/>
    <w:rsid w:val="006B469B"/>
    <w:rsid w:val="006B52BB"/>
    <w:rsid w:val="006B67A1"/>
    <w:rsid w:val="006D60B7"/>
    <w:rsid w:val="00702155"/>
    <w:rsid w:val="00754D1A"/>
    <w:rsid w:val="007C7264"/>
    <w:rsid w:val="007D74A0"/>
    <w:rsid w:val="007F1B2F"/>
    <w:rsid w:val="00824611"/>
    <w:rsid w:val="00826CAB"/>
    <w:rsid w:val="00843FBA"/>
    <w:rsid w:val="0085139E"/>
    <w:rsid w:val="00887C94"/>
    <w:rsid w:val="008D1F94"/>
    <w:rsid w:val="00912652"/>
    <w:rsid w:val="00937420"/>
    <w:rsid w:val="00950F6F"/>
    <w:rsid w:val="00955D07"/>
    <w:rsid w:val="00972D80"/>
    <w:rsid w:val="00993AEC"/>
    <w:rsid w:val="00995836"/>
    <w:rsid w:val="0099674A"/>
    <w:rsid w:val="009A5307"/>
    <w:rsid w:val="009C3BAA"/>
    <w:rsid w:val="009C4148"/>
    <w:rsid w:val="009E0E7E"/>
    <w:rsid w:val="009F6353"/>
    <w:rsid w:val="00A74020"/>
    <w:rsid w:val="00A9117C"/>
    <w:rsid w:val="00AA5F04"/>
    <w:rsid w:val="00AC3C7E"/>
    <w:rsid w:val="00AE0A38"/>
    <w:rsid w:val="00AE0FAF"/>
    <w:rsid w:val="00AF7526"/>
    <w:rsid w:val="00B03E88"/>
    <w:rsid w:val="00BA06ED"/>
    <w:rsid w:val="00BA4D25"/>
    <w:rsid w:val="00BD1806"/>
    <w:rsid w:val="00C35E02"/>
    <w:rsid w:val="00C966B4"/>
    <w:rsid w:val="00CB2C6B"/>
    <w:rsid w:val="00CB5EAC"/>
    <w:rsid w:val="00CE76D7"/>
    <w:rsid w:val="00D33BC0"/>
    <w:rsid w:val="00D41C50"/>
    <w:rsid w:val="00D445DA"/>
    <w:rsid w:val="00D47373"/>
    <w:rsid w:val="00D52688"/>
    <w:rsid w:val="00D634FD"/>
    <w:rsid w:val="00D71BF5"/>
    <w:rsid w:val="00D82E64"/>
    <w:rsid w:val="00D977AA"/>
    <w:rsid w:val="00E072B2"/>
    <w:rsid w:val="00E34C1F"/>
    <w:rsid w:val="00E45248"/>
    <w:rsid w:val="00EA01DA"/>
    <w:rsid w:val="00F15515"/>
    <w:rsid w:val="00F3381F"/>
    <w:rsid w:val="00F352A7"/>
    <w:rsid w:val="00F77ABE"/>
    <w:rsid w:val="00F85A89"/>
    <w:rsid w:val="00F91E09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BD063-D353-4FB7-A4AA-6757BAA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22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D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1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352A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352A7"/>
  </w:style>
  <w:style w:type="character" w:customStyle="1" w:styleId="eop">
    <w:name w:val="eop"/>
    <w:basedOn w:val="a0"/>
    <w:rsid w:val="00F352A7"/>
  </w:style>
  <w:style w:type="character" w:customStyle="1" w:styleId="hl">
    <w:name w:val="hl"/>
    <w:basedOn w:val="a0"/>
    <w:rsid w:val="003022D7"/>
  </w:style>
  <w:style w:type="paragraph" w:styleId="a9">
    <w:name w:val="Body Text Indent"/>
    <w:basedOn w:val="a"/>
    <w:link w:val="aa"/>
    <w:uiPriority w:val="99"/>
    <w:unhideWhenUsed/>
    <w:rsid w:val="003022D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02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E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fol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ldyzkunba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uldyzkunba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10C9-85EB-4499-BD0D-5C11AEF2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18</cp:revision>
  <dcterms:created xsi:type="dcterms:W3CDTF">2024-09-05T17:11:00Z</dcterms:created>
  <dcterms:modified xsi:type="dcterms:W3CDTF">2024-10-08T06:48:00Z</dcterms:modified>
</cp:coreProperties>
</file>